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26-230</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12</w:t>
      </w:r>
    </w:p>
    <w:p>
      <w:pPr>
        <w:spacing w:before="0" w:after="0" w:line="480"/>
        <w:ind w:left="120"/>
        <w:jc w:val="center"/>
      </w:pPr>
      <w:r>
        <w:rPr>
          <w:rFonts w:ascii="Times New Roman" w:hAnsi="Times New Roman"/>
          <w:b w:val="false"/>
          <w:i w:val="false"/>
          <w:color w:val="000000"/>
          <w:sz w:val="24"/>
        </w:rPr>
        <w:t>“Prohibited Practice Proceedings”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for filing prohibited practice complaints.</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3.</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 to 486—Chapter 18 is to that as published herein as </w:t>
      </w:r>
      <w:r>
        <w:rPr>
          <w:rFonts w:ascii="Times New Roman" w:hAnsi="Times New Roman"/>
          <w:b/>
          <w:i w:val="false"/>
          <w:color w:val="000000"/>
          <w:sz w:val="24"/>
        </w:rPr>
        <w:t>RA 26-236</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the revisions to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the revisions to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12</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PROHIBITED PRACTICE PROCEEDINGS</w:t>
      </w:r>
    </w:p>
    <w:p>
      <w:pPr>
        <w:spacing w:before="210" w:after="0" w:line="480"/>
        <w:ind w:left="120"/>
        <w:jc w:val="both"/>
      </w:pPr>
      <w:r>
        <w:rPr>
          <w:rFonts w:ascii="Times New Roman" w:hAnsi="Times New Roman"/>
          <w:b/>
          <w:i w:val="false"/>
          <w:color w:val="000000"/>
          <w:sz w:val="24"/>
        </w:rPr>
        <w:t>486—12.1</w:t>
      </w:r>
      <w:r>
        <w:rPr>
          <w:rFonts w:ascii="Times New Roman" w:hAnsi="Times New Roman"/>
          <w:b/>
          <w:i w:val="false"/>
          <w:color w:val="000000"/>
          <w:sz w:val="24"/>
        </w:rPr>
        <w:t xml:space="preserve">(20) </w:t>
      </w:r>
      <w:r>
        <w:rPr>
          <w:rFonts w:ascii="Times New Roman" w:hAnsi="Times New Roman"/>
          <w:b/>
          <w:i w:val="false"/>
          <w:color w:val="000000"/>
          <w:sz w:val="24"/>
        </w:rPr>
        <w:t xml:space="preserve">Filing of complaint. </w:t>
      </w:r>
      <w:r>
        <w:rPr>
          <w:rFonts w:ascii="Times New Roman" w:hAnsi="Times New Roman"/>
          <w:b w:val="false"/>
          <w:i w:val="false"/>
          <w:color w:val="000000"/>
          <w:sz w:val="24"/>
        </w:rPr>
        <w:t xml:space="preserve">Any person or organization may file a complaint with the appeal board alleging that any public employer or its agents, public employee, or employee organization or its agents has committed a prohibited practice in accordance with the requirements set forth in Iowa Code section </w:t>
      </w:r>
      <w:hyperlink r:id="rId6">
        <w:r>
          <w:rPr>
            <w:rStyle w:val="Hyperlink"/>
            <w:rFonts w:ascii="Times New Roman" w:hAnsi="Times New Roman"/>
            <w:b w:val="false"/>
            <w:i w:val="false"/>
            <w:color w:val="000000"/>
            <w:sz w:val="24"/>
          </w:rPr>
          <w:t>20.11</w:t>
        </w:r>
      </w:hyperlink>
      <w:r>
        <w:rPr>
          <w:rFonts w:ascii="Times New Roman" w:hAnsi="Times New Roman"/>
          <w:b w:val="false"/>
          <w:i w:val="false"/>
          <w:color w:val="000000"/>
          <w:sz w:val="24"/>
        </w:rPr>
        <w:t xml:space="preserve">. The complaint and all subsequent documents in the case must be filed in the appeal board’s electronic document management system pursuant to </w:t>
      </w:r>
      <w:hyperlink r:id="rId7">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The matter will be assigned a case number, and all subsequent documents in that proceeding before the appeal board must be filed under the same case number.</w:t>
      </w:r>
    </w:p>
    <w:p>
      <w:pPr>
        <w:spacing w:before="0" w:after="0" w:line="480"/>
        <w:ind w:left="120"/>
        <w:jc w:val="both"/>
      </w:pPr>
      <w:r>
        <w:rPr>
          <w:rFonts w:ascii="Times New Roman" w:hAnsi="Times New Roman"/>
          <w:b/>
          <w:i w:val="false"/>
          <w:color w:val="000000"/>
          <w:sz w:val="24"/>
        </w:rPr>
        <w:t>486—12.2</w:t>
      </w:r>
      <w:r>
        <w:rPr>
          <w:rFonts w:ascii="Times New Roman" w:hAnsi="Times New Roman"/>
          <w:b/>
          <w:i w:val="false"/>
          <w:color w:val="000000"/>
          <w:sz w:val="24"/>
        </w:rPr>
        <w:t xml:space="preserve">(20) </w:t>
      </w:r>
      <w:r>
        <w:rPr>
          <w:rFonts w:ascii="Times New Roman" w:hAnsi="Times New Roman"/>
          <w:b/>
          <w:i w:val="false"/>
          <w:color w:val="000000"/>
          <w:sz w:val="24"/>
        </w:rPr>
        <w:t xml:space="preserve">Contents of complaint. </w:t>
      </w:r>
      <w:r>
        <w:rPr>
          <w:rFonts w:ascii="Times New Roman" w:hAnsi="Times New Roman"/>
          <w:b w:val="false"/>
          <w:i w:val="false"/>
          <w:color w:val="000000"/>
          <w:sz w:val="24"/>
        </w:rPr>
        <w:t>The complainant may use the complaint form available on the appeal board’s website. The complaint must be signed by the complainant or designated representative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12.2(1)</w:t>
      </w:r>
      <w:r>
        <w:rPr>
          <w:rFonts w:ascii="Times New Roman" w:hAnsi="Times New Roman"/>
          <w:b w:val="false"/>
          <w:i w:val="false"/>
          <w:color w:val="000000"/>
          <w:sz w:val="24"/>
        </w:rPr>
        <w:t> </w:t>
      </w:r>
      <w:r>
        <w:rPr>
          <w:rFonts w:ascii="Times New Roman" w:hAnsi="Times New Roman"/>
          <w:b w:val="false"/>
          <w:i w:val="false"/>
          <w:color w:val="000000"/>
          <w:sz w:val="24"/>
        </w:rPr>
        <w:t>The name, address, telephone number and email address of the complainant and, if filed by the complainant’s designated representative, the name, title, telephone number and email address of that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respondent(s) alleged to have committed the prohibited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12.2(3)</w:t>
      </w:r>
      <w:r>
        <w:rPr>
          <w:rFonts w:ascii="Times New Roman" w:hAnsi="Times New Roman"/>
          <w:b w:val="false"/>
          <w:i w:val="false"/>
          <w:color w:val="000000"/>
          <w:sz w:val="24"/>
        </w:rPr>
        <w:t> </w:t>
      </w:r>
      <w:r>
        <w:rPr>
          <w:rFonts w:ascii="Times New Roman" w:hAnsi="Times New Roman"/>
          <w:b w:val="false"/>
          <w:i w:val="false"/>
          <w:color w:val="000000"/>
          <w:sz w:val="24"/>
        </w:rPr>
        <w:t xml:space="preserve">A clear and concise statement of the facts constituting the alleged prohibited practice, including the names of the individuals involved in the alleged act(s), the date(s) and place(s) of the alleged act(s), and the specific subsection(s) and paragraph(s) of Iowa Code section </w:t>
      </w:r>
      <w:hyperlink r:id="rId8">
        <w:r>
          <w:rPr>
            <w:rStyle w:val="Hyperlink"/>
            <w:rFonts w:ascii="Times New Roman" w:hAnsi="Times New Roman"/>
            <w:b w:val="false"/>
            <w:i w:val="false"/>
            <w:color w:val="000000"/>
            <w:sz w:val="24"/>
          </w:rPr>
          <w:t>20.10</w:t>
        </w:r>
      </w:hyperlink>
      <w:r>
        <w:rPr>
          <w:rFonts w:ascii="Times New Roman" w:hAnsi="Times New Roman"/>
          <w:b w:val="false"/>
          <w:i w:val="false"/>
          <w:color w:val="000000"/>
          <w:sz w:val="24"/>
        </w:rPr>
        <w:t xml:space="preserve"> alleged to have been violated.</w:t>
      </w:r>
    </w:p>
    <w:p>
      <w:pPr>
        <w:spacing w:before="210" w:after="0" w:line="480"/>
        <w:ind w:left="120"/>
        <w:jc w:val="both"/>
      </w:pPr>
      <w:r>
        <w:rPr>
          <w:rFonts w:ascii="Times New Roman" w:hAnsi="Times New Roman"/>
          <w:b/>
          <w:i w:val="false"/>
          <w:color w:val="000000"/>
          <w:sz w:val="24"/>
        </w:rPr>
        <w:t>486—12.3</w:t>
      </w:r>
      <w:r>
        <w:rPr>
          <w:rFonts w:ascii="Times New Roman" w:hAnsi="Times New Roman"/>
          <w:b/>
          <w:i w:val="false"/>
          <w:color w:val="000000"/>
          <w:sz w:val="24"/>
        </w:rPr>
        <w:t xml:space="preserve">(20) </w:t>
      </w:r>
      <w:r>
        <w:rPr>
          <w:rFonts w:ascii="Times New Roman" w:hAnsi="Times New Roman"/>
          <w:b/>
          <w:i w:val="false"/>
          <w:color w:val="000000"/>
          <w:sz w:val="24"/>
        </w:rPr>
        <w:t xml:space="preserve">Service of complaint. </w:t>
      </w:r>
      <w:r>
        <w:rPr>
          <w:rFonts w:ascii="Times New Roman" w:hAnsi="Times New Roman"/>
          <w:b w:val="false"/>
          <w:i w:val="false"/>
          <w:color w:val="000000"/>
          <w:sz w:val="24"/>
        </w:rPr>
        <w:t>Upon the filing of a proper complaint, the appeal board will serve copies of the complaint upon other interested parties by electronic means when possible or,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i w:val="false"/>
          <w:color w:val="000000"/>
          <w:sz w:val="24"/>
        </w:rPr>
        <w:t>486—12.4</w:t>
      </w:r>
      <w:r>
        <w:rPr>
          <w:rFonts w:ascii="Times New Roman" w:hAnsi="Times New Roman"/>
          <w:b/>
          <w:i w:val="false"/>
          <w:color w:val="000000"/>
          <w:sz w:val="24"/>
        </w:rPr>
        <w:t xml:space="preserve">(20) </w:t>
      </w:r>
      <w:r>
        <w:rPr>
          <w:rFonts w:ascii="Times New Roman" w:hAnsi="Times New Roman"/>
          <w:b/>
          <w:i w:val="false"/>
          <w:color w:val="000000"/>
          <w:sz w:val="24"/>
        </w:rPr>
        <w:t xml:space="preserve">Answer to complaint.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w:t>
      </w:r>
      <w:r>
        <w:rPr>
          <w:rFonts w:ascii="Times New Roman" w:hAnsi="Times New Roman"/>
          <w:b w:val="false"/>
          <w:i w:val="false"/>
          <w:color w:val="000000"/>
          <w:sz w:val="24"/>
        </w:rPr>
        <w:t> </w:t>
      </w:r>
      <w:r>
        <w:rPr>
          <w:rFonts w:ascii="Times New Roman" w:hAnsi="Times New Roman"/>
          <w:b w:val="false"/>
          <w:i/>
          <w:color w:val="000000"/>
          <w:sz w:val="24"/>
        </w:rPr>
        <w:t xml:space="preserve">Filing and service. </w:t>
      </w:r>
      <w:r>
        <w:rPr>
          <w:rFonts w:ascii="Times New Roman" w:hAnsi="Times New Roman"/>
          <w:b w:val="false"/>
          <w:i w:val="false"/>
          <w:color w:val="000000"/>
          <w:sz w:val="24"/>
        </w:rPr>
        <w:t xml:space="preserve">Within ten days of service of a complaint, the respondent(s) must file with the appeal board an answer to the complaint in accordance with Iowa Code sections </w:t>
      </w:r>
      <w:hyperlink r:id="rId9">
        <w:r>
          <w:rPr>
            <w:rStyle w:val="Hyperlink"/>
            <w:rFonts w:ascii="Times New Roman" w:hAnsi="Times New Roman"/>
            <w:b w:val="false"/>
            <w:i w:val="false"/>
            <w:color w:val="000000"/>
            <w:sz w:val="24"/>
          </w:rPr>
          <w:t>20.11</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20.24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to answer. </w:t>
      </w:r>
      <w:r>
        <w:rPr>
          <w:rFonts w:ascii="Times New Roman" w:hAnsi="Times New Roman"/>
          <w:b w:val="false"/>
          <w:i w:val="false"/>
          <w:color w:val="000000"/>
          <w:sz w:val="24"/>
        </w:rPr>
        <w:t>The parties may agree to an extension of the time to answer and shall inform the appeal board of their agreement. If the parties cannot agree on an extension, the respondent may file a motion for an extension of the time to answer. The appeal board will grant a request for an extension for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w:t>
      </w:r>
      <w:r>
        <w:rPr>
          <w:rFonts w:ascii="Times New Roman" w:hAnsi="Times New Roman"/>
          <w:b w:val="false"/>
          <w:i w:val="false"/>
          <w:color w:val="000000"/>
          <w:sz w:val="24"/>
        </w:rPr>
        <w:t> </w:t>
      </w:r>
      <w:r>
        <w:rPr>
          <w:rFonts w:ascii="Times New Roman" w:hAnsi="Times New Roman"/>
          <w:b w:val="false"/>
          <w:i/>
          <w:color w:val="000000"/>
          <w:sz w:val="24"/>
        </w:rPr>
        <w:t xml:space="preserve">Contents of answer. </w:t>
      </w:r>
      <w:r>
        <w:rPr>
          <w:rFonts w:ascii="Times New Roman" w:hAnsi="Times New Roman"/>
          <w:b w:val="false"/>
          <w:i w:val="false"/>
          <w:color w:val="000000"/>
          <w:sz w:val="24"/>
        </w:rPr>
        <w:t>The respondent must file an answer within ten days of service of the complaint unless otherwise ordered. The answer must state the name, address, email, and telephone number of the person filing the answer; the person on whose behalf it is filed; and the attorney representing that person, if any. The answer must specifically admit, deny, or otherwise respond to material allegations of the complaint. Any allegation in the complaint not denied in the answer is considered admitted.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w:t>
      </w:r>
      <w:r>
        <w:rPr>
          <w:rFonts w:ascii="Times New Roman" w:hAnsi="Times New Roman"/>
          <w:b w:val="false"/>
          <w:i w:val="false"/>
          <w:color w:val="000000"/>
          <w:sz w:val="24"/>
        </w:rPr>
        <w:t> </w:t>
      </w:r>
      <w:r>
        <w:rPr>
          <w:rFonts w:ascii="Times New Roman" w:hAnsi="Times New Roman"/>
          <w:b w:val="false"/>
          <w:i/>
          <w:color w:val="000000"/>
          <w:sz w:val="24"/>
        </w:rPr>
        <w:t xml:space="preserve">Failure to answer. </w:t>
      </w:r>
      <w:r>
        <w:rPr>
          <w:rFonts w:ascii="Times New Roman" w:hAnsi="Times New Roman"/>
          <w:b w:val="false"/>
          <w:i w:val="false"/>
          <w:color w:val="000000"/>
          <w:sz w:val="24"/>
        </w:rPr>
        <w:t>The appeal board may deem that a respondent who has failed to timely file an answer has thereby admitted the material facts alleged in the complaint and waived the right to a hearing.</w:t>
      </w:r>
    </w:p>
    <w:p>
      <w:pPr>
        <w:spacing w:before="210" w:after="0" w:line="480"/>
        <w:ind w:left="120"/>
        <w:jc w:val="both"/>
      </w:pPr>
      <w:r>
        <w:rPr>
          <w:rFonts w:ascii="Times New Roman" w:hAnsi="Times New Roman"/>
          <w:b/>
          <w:i w:val="false"/>
          <w:color w:val="000000"/>
          <w:sz w:val="24"/>
        </w:rPr>
        <w:t>486—12.5</w:t>
      </w:r>
      <w:r>
        <w:rPr>
          <w:rFonts w:ascii="Times New Roman" w:hAnsi="Times New Roman"/>
          <w:b/>
          <w:i w:val="false"/>
          <w:color w:val="000000"/>
          <w:sz w:val="24"/>
        </w:rPr>
        <w:t xml:space="preserve">(20) </w:t>
      </w:r>
      <w:r>
        <w:rPr>
          <w:rFonts w:ascii="Times New Roman" w:hAnsi="Times New Roman"/>
          <w:b/>
          <w:i w:val="false"/>
          <w:color w:val="000000"/>
          <w:sz w:val="24"/>
        </w:rPr>
        <w:t xml:space="preserve">Voluntary dismissal or withdrawal of complaint. </w:t>
      </w:r>
      <w:r>
        <w:rPr>
          <w:rFonts w:ascii="Times New Roman" w:hAnsi="Times New Roman"/>
          <w:b w:val="false"/>
          <w:i w:val="false"/>
          <w:color w:val="000000"/>
          <w:sz w:val="24"/>
        </w:rPr>
        <w:t>A complainant may voluntarily dismiss a complaint at any time prior to a proposed decision being issued. After a proposed decision is issued, a complainant may only withdraw a complaint with the consent of the board.</w:t>
      </w:r>
    </w:p>
    <w:p>
      <w:pPr>
        <w:spacing w:before="0" w:after="0" w:line="480"/>
        <w:ind w:left="120"/>
        <w:jc w:val="both"/>
      </w:pPr>
      <w:r>
        <w:rPr>
          <w:rFonts w:ascii="Times New Roman" w:hAnsi="Times New Roman"/>
          <w:b/>
          <w:i w:val="false"/>
          <w:color w:val="000000"/>
          <w:sz w:val="24"/>
        </w:rPr>
        <w:t>486—12.6</w:t>
      </w:r>
      <w:r>
        <w:rPr>
          <w:rFonts w:ascii="Times New Roman" w:hAnsi="Times New Roman"/>
          <w:b/>
          <w:i w:val="false"/>
          <w:color w:val="000000"/>
          <w:sz w:val="24"/>
        </w:rPr>
        <w:t xml:space="preserve">(20) </w:t>
      </w:r>
      <w:r>
        <w:rPr>
          <w:rFonts w:ascii="Times New Roman" w:hAnsi="Times New Roman"/>
          <w:b/>
          <w:i w:val="false"/>
          <w:color w:val="000000"/>
          <w:sz w:val="24"/>
        </w:rPr>
        <w:t xml:space="preserve">Costs of certified shorthand reporters and transcripts.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12.6(1)</w:t>
      </w:r>
      <w:r>
        <w:rPr>
          <w:rFonts w:ascii="Times New Roman" w:hAnsi="Times New Roman"/>
          <w:b w:val="false"/>
          <w:i w:val="false"/>
          <w:color w:val="000000"/>
          <w:sz w:val="24"/>
        </w:rPr>
        <w:t> </w:t>
      </w:r>
      <w:r>
        <w:rPr>
          <w:rFonts w:ascii="Times New Roman" w:hAnsi="Times New Roman"/>
          <w:b w:val="false"/>
          <w:i/>
          <w:color w:val="000000"/>
          <w:sz w:val="24"/>
        </w:rPr>
        <w:t xml:space="preserve">Initial payment. </w:t>
      </w:r>
      <w:r>
        <w:rPr>
          <w:rFonts w:ascii="Times New Roman" w:hAnsi="Times New Roman"/>
          <w:b w:val="false"/>
          <w:i w:val="false"/>
          <w:color w:val="000000"/>
          <w:sz w:val="24"/>
        </w:rPr>
        <w:t>The appeal board will arrange for a certified shorthand reporter to report the contested case hearing and request that an original transcript of the hearing be prepared by the reporter for the board’s use. The appeal board will initially pay the reporter’s reasonable compensation for reporting the hearing and producing the requested transcript.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12.6(2)</w:t>
      </w:r>
      <w:r>
        <w:rPr>
          <w:rFonts w:ascii="Times New Roman" w:hAnsi="Times New Roman"/>
          <w:b w:val="false"/>
          <w:i w:val="false"/>
          <w:color w:val="000000"/>
          <w:sz w:val="24"/>
        </w:rPr>
        <w:t> </w:t>
      </w:r>
      <w:r>
        <w:rPr>
          <w:rFonts w:ascii="Times New Roman" w:hAnsi="Times New Roman"/>
          <w:b w:val="false"/>
          <w:i/>
          <w:color w:val="000000"/>
          <w:sz w:val="24"/>
        </w:rPr>
        <w:t xml:space="preserve">Taxation as costs. </w:t>
      </w:r>
      <w:r>
        <w:rPr>
          <w:rFonts w:ascii="Times New Roman" w:hAnsi="Times New Roman"/>
          <w:b w:val="false"/>
          <w:i w:val="false"/>
          <w:color w:val="000000"/>
          <w:sz w:val="24"/>
        </w:rPr>
        <w:t>The nonprevailing party or parties will be taxed the full cost of reporting and transcription unless the final order apportions these costs in another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12.6(3)</w:t>
      </w:r>
      <w:r>
        <w:rPr>
          <w:rFonts w:ascii="Times New Roman" w:hAnsi="Times New Roman"/>
          <w:b w:val="false"/>
          <w:i w:val="false"/>
          <w:color w:val="000000"/>
          <w:sz w:val="24"/>
        </w:rPr>
        <w:t> </w:t>
      </w:r>
      <w:r>
        <w:rPr>
          <w:rFonts w:ascii="Times New Roman" w:hAnsi="Times New Roman"/>
          <w:b w:val="false"/>
          <w:i/>
          <w:color w:val="000000"/>
          <w:sz w:val="24"/>
        </w:rPr>
        <w:t xml:space="preserve">Payment of taxed costs. </w:t>
      </w:r>
      <w:r>
        <w:rPr>
          <w:rFonts w:ascii="Times New Roman" w:hAnsi="Times New Roman"/>
          <w:b w:val="false"/>
          <w:i w:val="false"/>
          <w:color w:val="000000"/>
          <w:sz w:val="24"/>
        </w:rPr>
        <w:t xml:space="preserve">Following final agency action in a case, the appeal board will prepare and serve a bill of costs upon the party or parties against whom the costs have been taxed. Those parties shall, within 30 days of such service, remit to the appeal board the amount specified in the bill of costs. Sums remitted to the appeal board will be considered appropriated receipts as defined in Iowa Code section </w:t>
      </w:r>
      <w:hyperlink r:id="rId11">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486—12.7</w:t>
      </w:r>
      <w:r>
        <w:rPr>
          <w:rFonts w:ascii="Times New Roman" w:hAnsi="Times New Roman"/>
          <w:b/>
          <w:i w:val="false"/>
          <w:color w:val="000000"/>
          <w:sz w:val="24"/>
        </w:rPr>
        <w:t xml:space="preserve">(20) </w:t>
      </w:r>
      <w:r>
        <w:rPr>
          <w:rFonts w:ascii="Times New Roman" w:hAnsi="Times New Roman"/>
          <w:b/>
          <w:i w:val="false"/>
          <w:color w:val="000000"/>
          <w:sz w:val="24"/>
        </w:rPr>
        <w:t xml:space="preserve">Transmission for contested case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12.7(1)</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the respondent files an answer to the prohibited practice complaint, the appeal board may transmit the matter to the administrative hearings division created by Iowa Code section </w:t>
      </w:r>
      <w:hyperlink r:id="rId12">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The board will file a transmittal form with a copy of the complaint and answer attached. After the matter is transmitted, future filings must be made in the administrative hearings division’s administrative electronic document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12.7(2)</w:t>
      </w:r>
      <w:r>
        <w:rPr>
          <w:rFonts w:ascii="Times New Roman" w:hAnsi="Times New Roman"/>
          <w:b w:val="false"/>
          <w:i w:val="false"/>
          <w:color w:val="000000"/>
          <w:sz w:val="24"/>
        </w:rPr>
        <w:t> </w:t>
      </w:r>
      <w:r>
        <w:rPr>
          <w:rFonts w:ascii="Times New Roman" w:hAnsi="Times New Roman"/>
          <w:b w:val="false"/>
          <w:i w:val="false"/>
          <w:color w:val="000000"/>
          <w:sz w:val="24"/>
        </w:rPr>
        <w:t>After the case is transmitted to the administrative hearings division, it will be assigned a case number. The administrative hearings division will assign the proceeding to an administrative law judge to serve as a presiding officer. The administrative law judge will issue a notice for a prehearing conference or a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contested case proceeding will be conducted pursuant to </w:t>
      </w:r>
      <w:hyperlink r:id="rId13">
        <w:r>
          <w:rPr>
            <w:rStyle w:val="Hyperlink"/>
            <w:rFonts w:ascii="Times New Roman" w:hAnsi="Times New Roman"/>
            <w:b w:val="false"/>
            <w:i w:val="false"/>
            <w:color w:val="000000"/>
            <w:sz w:val="24"/>
          </w:rPr>
          <w:t>481—Chapter 10</w:t>
        </w:r>
      </w:hyperlink>
      <w:r>
        <w:rPr>
          <w:rFonts w:ascii="Times New Roman" w:hAnsi="Times New Roman"/>
          <w:b w:val="false"/>
          <w:i w:val="false"/>
          <w:color w:val="000000"/>
          <w:sz w:val="24"/>
        </w:rPr>
        <w:t xml:space="preserve"> and any other administrative rule applicable to the specific type of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decision of the presiding officer may be reviewed by the appeal board in accordance with rules </w:t>
      </w:r>
      <w:hyperlink r:id="rId14">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15">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6">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20.11.pdf" Type="http://schemas.openxmlformats.org/officeDocument/2006/relationships/hyperlink" Id="rId6"/>
    <Relationship TargetMode="External" Target="https://www.legis.iowa.gov/docs/iac/chapter/486.18.pdf" Type="http://schemas.openxmlformats.org/officeDocument/2006/relationships/hyperlink" Id="rId7"/>
    <Relationship TargetMode="External" Target="https://www.legis.iowa.gov/docs/ico/chapter/20.10.pdf" Type="http://schemas.openxmlformats.org/officeDocument/2006/relationships/hyperlink" Id="rId8"/>
    <Relationship TargetMode="External" Target="https://www.legis.iowa.gov/docs/ico/chapter/20.11.pdf" Type="http://schemas.openxmlformats.org/officeDocument/2006/relationships/hyperlink" Id="rId9"/>
    <Relationship TargetMode="External" Target="https://www.legis.iowa.gov/docs/ico/chapter/20.24.pdf" Type="http://schemas.openxmlformats.org/officeDocument/2006/relationships/hyperlink" Id="rId10"/>
    <Relationship TargetMode="External" Target="https://www.legis.iowa.gov/docs/ico/chapter/8.2.pdf" Type="http://schemas.openxmlformats.org/officeDocument/2006/relationships/hyperlink" Id="rId11"/>
    <Relationship TargetMode="External" Target="https://www.legis.iowa.gov/docs/ico/chapter/10A.801.pdf" Type="http://schemas.openxmlformats.org/officeDocument/2006/relationships/hyperlink" Id="rId12"/>
    <Relationship TargetMode="External" Target="https://www.legis.iowa.gov/docs/iac/chapter/481.10.pdf" Type="http://schemas.openxmlformats.org/officeDocument/2006/relationships/hyperlink" Id="rId13"/>
    <Relationship TargetMode="External" Target="https://www.legis.iowa.gov/docs/iac/rule/7.2506.27.pdf" Type="http://schemas.openxmlformats.org/officeDocument/2006/relationships/hyperlink" Id="rId14"/>
    <Relationship TargetMode="External" Target="https://www.legis.iowa.gov/docs/iac/rule/7.2506.28.pdf" Type="http://schemas.openxmlformats.org/officeDocument/2006/relationships/hyperlink" Id="rId15"/>
    <Relationship TargetMode="External" Target="https://www.legis.iowa.gov/docs/ico/chapter/20.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